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A0" w:rsidRPr="006B2001" w:rsidRDefault="00ED2EA0" w:rsidP="005B55C3">
      <w:pPr>
        <w:jc w:val="center"/>
        <w:rPr>
          <w:rFonts w:ascii="Book Antiqua" w:hAnsi="Book Antiqua" w:cs="Arial"/>
          <w:b/>
          <w:bCs/>
          <w:i/>
          <w:iCs/>
          <w:sz w:val="10"/>
          <w:szCs w:val="72"/>
        </w:rPr>
      </w:pPr>
    </w:p>
    <w:p w:rsidR="00334947" w:rsidRDefault="00334947" w:rsidP="00334947">
      <w:pPr>
        <w:jc w:val="center"/>
        <w:rPr>
          <w:rFonts w:ascii="Book Antiqua" w:hAnsi="Book Antiqua" w:cs="Arial"/>
          <w:b/>
          <w:sz w:val="72"/>
          <w:szCs w:val="72"/>
          <w:u w:val="single"/>
        </w:rPr>
      </w:pPr>
      <w:r w:rsidRPr="004C16C5">
        <w:rPr>
          <w:rFonts w:ascii="Book Antiqua" w:hAnsi="Book Antiqua" w:cs="Arial"/>
          <w:b/>
          <w:sz w:val="72"/>
          <w:szCs w:val="72"/>
          <w:u w:val="single"/>
        </w:rPr>
        <w:t>Archivale des Monats</w:t>
      </w:r>
    </w:p>
    <w:p w:rsidR="00334947" w:rsidRPr="004C16C5" w:rsidRDefault="00BD075A" w:rsidP="00334947">
      <w:pPr>
        <w:jc w:val="center"/>
        <w:rPr>
          <w:rFonts w:ascii="Book Antiqua" w:hAnsi="Book Antiqua" w:cs="Arial"/>
          <w:b/>
          <w:i/>
          <w:sz w:val="48"/>
          <w:szCs w:val="48"/>
        </w:rPr>
      </w:pPr>
      <w:r>
        <w:rPr>
          <w:rFonts w:ascii="Book Antiqua" w:hAnsi="Book Antiqua" w:cs="Arial"/>
          <w:b/>
          <w:i/>
          <w:sz w:val="48"/>
          <w:szCs w:val="48"/>
        </w:rPr>
        <w:t>HSTAB 898</w:t>
      </w:r>
    </w:p>
    <w:p w:rsidR="00334947" w:rsidRPr="00334947" w:rsidRDefault="005D38FF" w:rsidP="00334947">
      <w:pPr>
        <w:spacing w:after="0" w:line="240" w:lineRule="auto"/>
        <w:contextualSpacing/>
        <w:jc w:val="center"/>
        <w:rPr>
          <w:rFonts w:ascii="Book Antiqua" w:hAnsi="Book Antiqua" w:cs="Arial"/>
          <w:sz w:val="44"/>
          <w:szCs w:val="44"/>
        </w:rPr>
      </w:pPr>
      <w:r>
        <w:rPr>
          <w:rFonts w:ascii="Book Antiqua" w:hAnsi="Book Antiqua" w:cs="Arial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59690</wp:posOffset>
                </wp:positionV>
                <wp:extent cx="4533900" cy="62388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FF" w:rsidRDefault="005D38FF">
                            <w:r w:rsidRPr="005D38F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276725" cy="6059918"/>
                                  <wp:effectExtent l="0" t="0" r="0" b="0"/>
                                  <wp:docPr id="5" name="Grafik 5" descr="M:\GB1 FB Hauptverwaltung SB Organisation\Archiv\47-Archiv\47 2 - Uebern Verw Pfleg\47 24 - Oeff_Arbeit\47 24 01 - Publikationen\AdM\2019\April HSTAB 898\HSTAB 8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GB1 FB Hauptverwaltung SB Organisation\Archiv\47-Archiv\47 2 - Uebern Verw Pfleg\47 24 - Oeff_Arbeit\47 24 01 - Publikationen\AdM\2019\April HSTAB 898\HSTAB 8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1211" cy="6066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9.85pt;margin-top:4.7pt;width:357pt;height:4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" fillcolor="white [3201]" strokecolor="white [3212]" strokeweight=".5pt">
                <v:textbox>
                  <w:txbxContent>
                    <w:p w:rsidR="005D38FF" w:rsidRDefault="005D38FF">
                      <w:r w:rsidRPr="005D38FF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276725" cy="6059918"/>
                            <wp:effectExtent l="0" t="0" r="0" b="0"/>
                            <wp:docPr id="5" name="Grafik 5" descr="M:\GB1 FB Hauptverwaltung SB Organisation\Archiv\47-Archiv\47 2 - Uebern Verw Pfleg\47 24 - Oeff_Arbeit\47 24 01 - Publikationen\AdM\2019\April HSTAB 898\HSTAB 8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GB1 FB Hauptverwaltung SB Organisation\Archiv\47-Archiv\47 2 - Uebern Verw Pfleg\47 24 - Oeff_Arbeit\47 24 01 - Publikationen\AdM\2019\April HSTAB 898\HSTAB 8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1211" cy="6066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4947" w:rsidRPr="004C16C5" w:rsidRDefault="00334947" w:rsidP="00334947">
      <w:pPr>
        <w:jc w:val="center"/>
        <w:rPr>
          <w:rFonts w:ascii="Book Antiqua" w:hAnsi="Book Antiqua" w:cs="Arial"/>
          <w:b/>
          <w:sz w:val="44"/>
          <w:szCs w:val="44"/>
        </w:rPr>
      </w:pPr>
    </w:p>
    <w:p w:rsidR="00334947" w:rsidRDefault="00334947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:rsidR="00BD075A" w:rsidRDefault="00BD075A" w:rsidP="00334947">
      <w:pPr>
        <w:jc w:val="center"/>
        <w:rPr>
          <w:rFonts w:ascii="Arial" w:hAnsi="Arial" w:cs="Arial"/>
          <w:sz w:val="36"/>
          <w:szCs w:val="36"/>
        </w:rPr>
      </w:pPr>
    </w:p>
    <w:p w:rsidR="00334947" w:rsidRDefault="00334947" w:rsidP="00334947">
      <w:pPr>
        <w:rPr>
          <w:rFonts w:ascii="Arial" w:hAnsi="Arial" w:cs="Arial"/>
          <w:sz w:val="24"/>
          <w:szCs w:val="24"/>
        </w:rPr>
      </w:pPr>
    </w:p>
    <w:p w:rsidR="00334947" w:rsidRPr="004C16C5" w:rsidRDefault="00334947" w:rsidP="00334947">
      <w:pPr>
        <w:rPr>
          <w:rFonts w:ascii="Arial" w:hAnsi="Arial" w:cs="Arial"/>
          <w:sz w:val="24"/>
          <w:szCs w:val="24"/>
        </w:rPr>
      </w:pPr>
    </w:p>
    <w:p w:rsidR="00334947" w:rsidRPr="004C16C5" w:rsidRDefault="00BD075A" w:rsidP="00334947">
      <w:pPr>
        <w:jc w:val="center"/>
        <w:rPr>
          <w:rFonts w:ascii="Book Antiqua" w:hAnsi="Book Antiqua" w:cs="Arial"/>
          <w:b/>
          <w:sz w:val="72"/>
          <w:szCs w:val="72"/>
        </w:rPr>
      </w:pPr>
      <w:r>
        <w:rPr>
          <w:rFonts w:ascii="Book Antiqua" w:hAnsi="Book Antiqua" w:cs="Arial"/>
          <w:b/>
          <w:sz w:val="72"/>
          <w:szCs w:val="72"/>
        </w:rPr>
        <w:t>April</w:t>
      </w:r>
      <w:r w:rsidR="00334947" w:rsidRPr="004C16C5">
        <w:rPr>
          <w:rFonts w:ascii="Book Antiqua" w:hAnsi="Book Antiqua" w:cs="Arial"/>
          <w:b/>
          <w:sz w:val="72"/>
          <w:szCs w:val="72"/>
        </w:rPr>
        <w:t xml:space="preserve"> 2019</w:t>
      </w:r>
    </w:p>
    <w:p w:rsidR="0049568A" w:rsidRPr="0049568A" w:rsidRDefault="0049568A" w:rsidP="0049568A">
      <w:pPr>
        <w:jc w:val="center"/>
        <w:rPr>
          <w:rFonts w:ascii="Book Antiqua" w:hAnsi="Book Antiqua" w:cs="Arial"/>
          <w:b/>
          <w:sz w:val="32"/>
          <w:szCs w:val="72"/>
          <w:u w:val="single"/>
        </w:rPr>
      </w:pPr>
      <w:r w:rsidRPr="0049568A">
        <w:rPr>
          <w:rFonts w:ascii="Book Antiqua" w:hAnsi="Book Antiqua" w:cs="Arial"/>
          <w:b/>
          <w:sz w:val="32"/>
          <w:szCs w:val="72"/>
          <w:u w:val="single"/>
        </w:rPr>
        <w:lastRenderedPageBreak/>
        <w:t>Archivale des Monats</w:t>
      </w:r>
    </w:p>
    <w:p w:rsidR="0049568A" w:rsidRPr="0049568A" w:rsidRDefault="00BD075A" w:rsidP="0049568A">
      <w:pPr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HSTAB 898</w:t>
      </w:r>
    </w:p>
    <w:p w:rsidR="00305061" w:rsidRDefault="00305061" w:rsidP="003050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„Die Errichtung einer städtischen Spar-Kasse“</w:t>
      </w:r>
    </w:p>
    <w:p w:rsidR="00305061" w:rsidRDefault="00AB5F5C" w:rsidP="00305061">
      <w:pPr>
        <w:pStyle w:val="KeinLeerraum"/>
        <w:jc w:val="both"/>
      </w:pPr>
      <w:r>
        <w:t xml:space="preserve">Die Akte </w:t>
      </w:r>
      <w:r w:rsidR="00F03C3C">
        <w:t xml:space="preserve">mit der Archivsignatur HSTAB 898 </w:t>
      </w:r>
      <w:r>
        <w:t>hat einen Umfang von 437 Seiten. Sie beginnt im Jahre 1864 und wurde 1926 geschlossen.</w:t>
      </w:r>
    </w:p>
    <w:p w:rsidR="00E97509" w:rsidRDefault="00E97509" w:rsidP="00305061">
      <w:pPr>
        <w:pStyle w:val="KeinLeerraum"/>
        <w:jc w:val="both"/>
      </w:pPr>
    </w:p>
    <w:p w:rsidR="00E97509" w:rsidRDefault="00E97509" w:rsidP="00305061">
      <w:pPr>
        <w:pStyle w:val="KeinLeerraum"/>
        <w:jc w:val="both"/>
      </w:pPr>
      <w:r>
        <w:t>Sie enthält unter anderem Schriftverkehr, Zeitungsartikel aus dem Bitterfelder Kreisblatt, Rechnungen der Stadt Spar-Kasse, ein Angebot für eiserne Geldschränke, sowie ein Statut für die Spar-Kasse der Stadt Bitterfeld von 1878 und 1879 und eine Zinstabelle der jeweiligen Jahre.</w:t>
      </w:r>
    </w:p>
    <w:p w:rsidR="00AB5F5C" w:rsidRDefault="00AB5F5C" w:rsidP="00305061">
      <w:pPr>
        <w:pStyle w:val="KeinLeerraum"/>
        <w:jc w:val="both"/>
      </w:pPr>
    </w:p>
    <w:p w:rsidR="00AB5F5C" w:rsidRDefault="00AB5F5C" w:rsidP="00305061">
      <w:pPr>
        <w:pStyle w:val="KeinLeerraum"/>
        <w:jc w:val="both"/>
      </w:pPr>
      <w:r>
        <w:t xml:space="preserve">Am 01. Juli 1879 eröffnet in Bitterfeld eine städtische „Spar-Kasse“. Das „Spar-Kassen-Lokal“ befand sich im Rathaus. Es wurden Einlagen von 1 Mark bis zu 1500 Mark angenommen, höhere Einlagen „nur nach Befinden“. Späterer Sitz war die Kirchstraße 2, ab 25. April 1926 war </w:t>
      </w:r>
      <w:r w:rsidR="00B94C2F" w:rsidRPr="00B94C2F">
        <w:t xml:space="preserve">der Sitz in der </w:t>
      </w:r>
      <w:r>
        <w:t>Bismarckstraße 15.</w:t>
      </w:r>
    </w:p>
    <w:p w:rsidR="00AB5F5C" w:rsidRDefault="00AB5F5C" w:rsidP="00305061">
      <w:pPr>
        <w:pStyle w:val="KeinLeerraum"/>
        <w:jc w:val="both"/>
      </w:pPr>
      <w:bookmarkStart w:id="0" w:name="_GoBack"/>
      <w:bookmarkEnd w:id="0"/>
    </w:p>
    <w:p w:rsidR="00F03C3C" w:rsidRDefault="00F03C3C" w:rsidP="00305061">
      <w:pPr>
        <w:pStyle w:val="KeinLeerraum"/>
        <w:jc w:val="both"/>
      </w:pPr>
      <w:r>
        <w:t xml:space="preserve">Am 05. Mai 1932 stirbt der langjährige Sparkassendirektor Franz Albert Keller. Er war seit dem 02. Januar 1892 Büroassistent und Registrator in der Bitterfelder Stadtverwaltung. </w:t>
      </w:r>
      <w:r w:rsidR="008D65EB">
        <w:t>1911, bei der Trennung von Stadthauptkasse und Stadtsparkass</w:t>
      </w:r>
      <w:r w:rsidR="008D65EB" w:rsidRPr="00DA261E">
        <w:t>e</w:t>
      </w:r>
      <w:r w:rsidR="004450F4" w:rsidRPr="00DA261E">
        <w:t>,</w:t>
      </w:r>
      <w:r w:rsidR="008D65EB" w:rsidRPr="00DA261E">
        <w:t xml:space="preserve"> </w:t>
      </w:r>
      <w:r w:rsidR="008D65EB">
        <w:t>wurde er Rendant.</w:t>
      </w:r>
    </w:p>
    <w:p w:rsidR="008D65EB" w:rsidRDefault="00795A0C" w:rsidP="00305061">
      <w:pPr>
        <w:pStyle w:val="KeinLeerraum"/>
        <w:jc w:val="both"/>
      </w:pPr>
      <w:r>
        <w:t>Am 24. Juli 1928 wurde ihm der Titel „Sparkassendirektor“ verliehen.</w:t>
      </w:r>
    </w:p>
    <w:p w:rsidR="00795A0C" w:rsidRDefault="00795A0C" w:rsidP="00305061">
      <w:pPr>
        <w:pStyle w:val="KeinLeerraum"/>
        <w:jc w:val="both"/>
      </w:pPr>
    </w:p>
    <w:p w:rsidR="00795A0C" w:rsidRPr="00FC0F0E" w:rsidRDefault="00D37EA6" w:rsidP="00305061">
      <w:pPr>
        <w:pStyle w:val="KeinLeerraum"/>
        <w:jc w:val="both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3228975</wp:posOffset>
                </wp:positionV>
                <wp:extent cx="1400175" cy="2762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93" w:rsidRDefault="00F94993">
                            <w:r>
                              <w:t xml:space="preserve">FA </w:t>
                            </w:r>
                            <w:proofErr w:type="spellStart"/>
                            <w:r>
                              <w:t>Btf</w:t>
                            </w:r>
                            <w:proofErr w:type="spellEnd"/>
                            <w:r>
                              <w:t xml:space="preserve"> 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2.35pt;margin-top:254.25pt;width:110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" fillcolor="white [3201]" strokecolor="white [3212]" strokeweight=".5pt">
                <v:textbox>
                  <w:txbxContent>
                    <w:p w:rsidR="00F94993" w:rsidRDefault="00F94993">
                      <w:r>
                        <w:t>FA Btf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3971925" cy="26670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93" w:rsidRDefault="00F94993">
                            <w:r w:rsidRPr="00F9499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783026" cy="2514600"/>
                                  <wp:effectExtent l="0" t="0" r="8255" b="0"/>
                                  <wp:docPr id="2" name="Grafik 2" descr="C:\Users\kaltenb\Desktop\Sparkasse FA 1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ltenb\Desktop\Sparkasse FA 1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6939" cy="252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0;margin-top:44.25pt;width:312.75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" fillcolor="white [3201]" strokecolor="white [3212]" strokeweight=".5pt">
                <v:textbox>
                  <w:txbxContent>
                    <w:p w:rsidR="00F94993" w:rsidRDefault="00F94993">
                      <w:r w:rsidRPr="00F94993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783026" cy="2514600"/>
                            <wp:effectExtent l="0" t="0" r="8255" b="0"/>
                            <wp:docPr id="2" name="Grafik 2" descr="C:\Users\kaltenb\Desktop\Sparkasse FA 1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ltenb\Desktop\Sparkasse FA 1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6939" cy="252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BF7">
        <w:t>1951 vereinigen sich die Stadtsparkasse und die Kreissparkasse Bitterfeld</w:t>
      </w:r>
      <w:r w:rsidR="00B94C2F">
        <w:t xml:space="preserve"> zur Stadt- und Kreissparkasse. </w:t>
      </w:r>
    </w:p>
    <w:sectPr w:rsidR="00795A0C" w:rsidRPr="00FC0F0E" w:rsidSect="00ED2EA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A9" w:rsidRDefault="005922A9" w:rsidP="00300D3D">
      <w:pPr>
        <w:spacing w:after="0" w:line="240" w:lineRule="auto"/>
      </w:pPr>
      <w:r>
        <w:separator/>
      </w:r>
    </w:p>
  </w:endnote>
  <w:endnote w:type="continuationSeparator" w:id="0">
    <w:p w:rsidR="005922A9" w:rsidRDefault="005922A9" w:rsidP="003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3D" w:rsidRDefault="00300D3D">
    <w:pPr>
      <w:pStyle w:val="Fuzeile"/>
      <w:rPr>
        <w:color w:val="A6A6A6" w:themeColor="background1" w:themeShade="A6"/>
      </w:rPr>
    </w:pPr>
    <w:r w:rsidRPr="00955948">
      <w:rPr>
        <w:color w:val="A6A6A6" w:themeColor="background1" w:themeShade="A6"/>
      </w:rPr>
      <w:ptab w:relativeTo="margin" w:alignment="center" w:leader="none"/>
    </w:r>
    <w:r w:rsidRPr="00955948">
      <w:rPr>
        <w:color w:val="A6A6A6" w:themeColor="background1" w:themeShade="A6"/>
      </w:rPr>
      <w:ptab w:relativeTo="margin" w:alignment="right" w:leader="none"/>
    </w:r>
    <w:r w:rsidRPr="00955948">
      <w:rPr>
        <w:color w:val="A6A6A6" w:themeColor="background1" w:themeShade="A6"/>
      </w:rPr>
      <w:t>Stadtarchiv Bitterfeld-Wolfen</w:t>
    </w:r>
  </w:p>
  <w:p w:rsidR="00955948" w:rsidRDefault="00955948">
    <w:pPr>
      <w:pStyle w:val="Fuzeile"/>
      <w:rPr>
        <w:color w:val="A6A6A6" w:themeColor="background1" w:themeShade="A6"/>
      </w:rPr>
    </w:pPr>
    <w:r>
      <w:rPr>
        <w:color w:val="A6A6A6" w:themeColor="background1" w:themeShade="A6"/>
      </w:rPr>
      <w:tab/>
      <w:t xml:space="preserve">                                        </w:t>
    </w:r>
    <w:r>
      <w:rPr>
        <w:color w:val="A6A6A6" w:themeColor="background1" w:themeShade="A6"/>
      </w:rPr>
      <w:tab/>
      <w:t>Rathausplatz 1</w:t>
    </w:r>
  </w:p>
  <w:p w:rsidR="00955948" w:rsidRPr="00955948" w:rsidRDefault="00955948">
    <w:pPr>
      <w:pStyle w:val="Fuzeile"/>
      <w:rPr>
        <w:color w:val="A6A6A6" w:themeColor="background1" w:themeShade="A6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>06766 Bitterfeld-Wolfen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A9" w:rsidRDefault="005922A9" w:rsidP="00300D3D">
      <w:pPr>
        <w:spacing w:after="0" w:line="240" w:lineRule="auto"/>
      </w:pPr>
      <w:r>
        <w:separator/>
      </w:r>
    </w:p>
  </w:footnote>
  <w:footnote w:type="continuationSeparator" w:id="0">
    <w:p w:rsidR="005922A9" w:rsidRDefault="005922A9" w:rsidP="00300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C3"/>
    <w:rsid w:val="0000244F"/>
    <w:rsid w:val="0000632A"/>
    <w:rsid w:val="00035BA9"/>
    <w:rsid w:val="00054DB9"/>
    <w:rsid w:val="000631FA"/>
    <w:rsid w:val="000827E6"/>
    <w:rsid w:val="000B5C32"/>
    <w:rsid w:val="00106D60"/>
    <w:rsid w:val="00120516"/>
    <w:rsid w:val="001A2DAF"/>
    <w:rsid w:val="001B4FDE"/>
    <w:rsid w:val="00277A3B"/>
    <w:rsid w:val="00291A9F"/>
    <w:rsid w:val="002D3419"/>
    <w:rsid w:val="00300D3D"/>
    <w:rsid w:val="00302F71"/>
    <w:rsid w:val="003041AF"/>
    <w:rsid w:val="00305061"/>
    <w:rsid w:val="00334947"/>
    <w:rsid w:val="004314D2"/>
    <w:rsid w:val="004450F4"/>
    <w:rsid w:val="00483013"/>
    <w:rsid w:val="00486BF0"/>
    <w:rsid w:val="0049568A"/>
    <w:rsid w:val="004E5E9C"/>
    <w:rsid w:val="004E649C"/>
    <w:rsid w:val="00555620"/>
    <w:rsid w:val="005922A9"/>
    <w:rsid w:val="005B55C3"/>
    <w:rsid w:val="005D38FF"/>
    <w:rsid w:val="005D5206"/>
    <w:rsid w:val="00636641"/>
    <w:rsid w:val="0069475F"/>
    <w:rsid w:val="006B2001"/>
    <w:rsid w:val="006C781E"/>
    <w:rsid w:val="0070263D"/>
    <w:rsid w:val="00704F76"/>
    <w:rsid w:val="00707B39"/>
    <w:rsid w:val="00737B8E"/>
    <w:rsid w:val="0075386C"/>
    <w:rsid w:val="00763D64"/>
    <w:rsid w:val="00775A01"/>
    <w:rsid w:val="00795A0C"/>
    <w:rsid w:val="007D319E"/>
    <w:rsid w:val="00804F88"/>
    <w:rsid w:val="008212B0"/>
    <w:rsid w:val="00833C2F"/>
    <w:rsid w:val="00857712"/>
    <w:rsid w:val="008C0718"/>
    <w:rsid w:val="008C291A"/>
    <w:rsid w:val="008C3862"/>
    <w:rsid w:val="008C43D6"/>
    <w:rsid w:val="008D65EB"/>
    <w:rsid w:val="009072A6"/>
    <w:rsid w:val="00915F6A"/>
    <w:rsid w:val="00916BF7"/>
    <w:rsid w:val="00955948"/>
    <w:rsid w:val="00A048D1"/>
    <w:rsid w:val="00A33F8F"/>
    <w:rsid w:val="00A510C6"/>
    <w:rsid w:val="00A87ECE"/>
    <w:rsid w:val="00A928ED"/>
    <w:rsid w:val="00AB5F5C"/>
    <w:rsid w:val="00AC752D"/>
    <w:rsid w:val="00B12B9B"/>
    <w:rsid w:val="00B80BB0"/>
    <w:rsid w:val="00B91714"/>
    <w:rsid w:val="00B94C2F"/>
    <w:rsid w:val="00BA6F8F"/>
    <w:rsid w:val="00BC7CF1"/>
    <w:rsid w:val="00BD075A"/>
    <w:rsid w:val="00C00A2C"/>
    <w:rsid w:val="00C15694"/>
    <w:rsid w:val="00CC21CE"/>
    <w:rsid w:val="00CD60B8"/>
    <w:rsid w:val="00D15384"/>
    <w:rsid w:val="00D37EA6"/>
    <w:rsid w:val="00D87E91"/>
    <w:rsid w:val="00DA261E"/>
    <w:rsid w:val="00DD15A9"/>
    <w:rsid w:val="00E70618"/>
    <w:rsid w:val="00E97509"/>
    <w:rsid w:val="00EB27C7"/>
    <w:rsid w:val="00ED2EA0"/>
    <w:rsid w:val="00F03C3C"/>
    <w:rsid w:val="00F16F6A"/>
    <w:rsid w:val="00F234E9"/>
    <w:rsid w:val="00F609C1"/>
    <w:rsid w:val="00F94993"/>
    <w:rsid w:val="00FC0F0E"/>
    <w:rsid w:val="00FC2D80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EED5-6312-4E64-A097-B60C5D4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0B8"/>
  </w:style>
  <w:style w:type="paragraph" w:styleId="berschrift1">
    <w:name w:val="heading 1"/>
    <w:basedOn w:val="Standard"/>
    <w:next w:val="Standard"/>
    <w:link w:val="berschrift1Zchn"/>
    <w:qFormat/>
    <w:rsid w:val="005B55C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55C3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20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5771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0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D3D"/>
  </w:style>
  <w:style w:type="paragraph" w:styleId="Fuzeile">
    <w:name w:val="footer"/>
    <w:basedOn w:val="Standard"/>
    <w:link w:val="FuzeileZchn"/>
    <w:uiPriority w:val="99"/>
    <w:unhideWhenUsed/>
    <w:rsid w:val="0030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Bitterfeld-Wolfen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</dc:creator>
  <cp:keywords/>
  <dc:description/>
  <cp:lastModifiedBy>Scholz, Yvonne</cp:lastModifiedBy>
  <cp:revision>4</cp:revision>
  <cp:lastPrinted>2018-12-27T10:53:00Z</cp:lastPrinted>
  <dcterms:created xsi:type="dcterms:W3CDTF">2019-03-28T10:30:00Z</dcterms:created>
  <dcterms:modified xsi:type="dcterms:W3CDTF">2019-04-02T07:46:00Z</dcterms:modified>
</cp:coreProperties>
</file>